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EDA" w:rsidRPr="00961EDA" w:rsidRDefault="00961EDA" w:rsidP="00961EDA">
      <w:pPr>
        <w:pStyle w:val="05Enunciadoapartados"/>
        <w:numPr>
          <w:ilvl w:val="0"/>
          <w:numId w:val="0"/>
        </w:numPr>
        <w:rPr>
          <w:rFonts w:eastAsia="Calibri"/>
          <w:b/>
          <w:sz w:val="20"/>
          <w:szCs w:val="20"/>
          <w:u w:val="single"/>
          <w:lang w:val="es-ES" w:eastAsia="en-US"/>
        </w:rPr>
      </w:pPr>
      <w:bookmarkStart w:id="0" w:name="_GoBack"/>
      <w:r w:rsidRPr="00961EDA">
        <w:rPr>
          <w:rFonts w:eastAsia="Calibri"/>
          <w:b/>
          <w:sz w:val="20"/>
          <w:szCs w:val="20"/>
          <w:u w:val="single"/>
          <w:lang w:val="es-ES" w:eastAsia="en-US"/>
        </w:rPr>
        <w:t xml:space="preserve">REPASO ÁREAS DE INTEGRALES </w:t>
      </w:r>
    </w:p>
    <w:bookmarkEnd w:id="0"/>
    <w:p w:rsidR="00961EDA" w:rsidRDefault="00961EDA" w:rsidP="00961EDA">
      <w:pPr>
        <w:pStyle w:val="05Enunciadoapartados"/>
        <w:numPr>
          <w:ilvl w:val="0"/>
          <w:numId w:val="0"/>
        </w:numPr>
        <w:rPr>
          <w:rFonts w:eastAsia="Calibri"/>
          <w:b/>
          <w:sz w:val="20"/>
          <w:szCs w:val="20"/>
          <w:lang w:val="es-ES" w:eastAsia="en-US"/>
        </w:rPr>
      </w:pPr>
    </w:p>
    <w:p w:rsidR="00961EDA" w:rsidRDefault="00961EDA" w:rsidP="00961EDA">
      <w:pPr>
        <w:pStyle w:val="05Enunciadoapartados"/>
        <w:numPr>
          <w:ilvl w:val="0"/>
          <w:numId w:val="0"/>
        </w:numPr>
        <w:rPr>
          <w:rFonts w:eastAsia="Calibri"/>
          <w:b/>
          <w:sz w:val="20"/>
          <w:szCs w:val="20"/>
          <w:lang w:val="es-ES" w:eastAsia="en-US"/>
        </w:rPr>
      </w:pPr>
      <w:r>
        <w:rPr>
          <w:rFonts w:eastAsia="Calibri"/>
          <w:b/>
          <w:sz w:val="20"/>
          <w:szCs w:val="20"/>
          <w:lang w:val="es-ES" w:eastAsia="en-US"/>
        </w:rPr>
        <w:t xml:space="preserve">Ejemplo: Calcula el área encerrada entre las funciones </w:t>
      </w:r>
      <w:r>
        <w:rPr>
          <w:rFonts w:eastAsia="Calibri"/>
          <w:b/>
          <w:position w:val="-12"/>
          <w:sz w:val="20"/>
          <w:szCs w:val="20"/>
          <w:lang w:val="es-ES" w:eastAsia="en-US"/>
        </w:rPr>
        <w:object w:dxaOrig="166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7.25pt" o:ole="">
            <v:imagedata r:id="rId5" o:title=""/>
          </v:shape>
          <o:OLEObject Type="Embed" ProgID="Equation.DSMT4" ShapeID="_x0000_i1025" DrawAspect="Content" ObjectID="_1645441743" r:id="rId6"/>
        </w:object>
      </w:r>
      <w:r>
        <w:rPr>
          <w:rFonts w:eastAsia="Calibri"/>
          <w:b/>
          <w:sz w:val="20"/>
          <w:szCs w:val="20"/>
          <w:lang w:val="es-ES" w:eastAsia="en-US"/>
        </w:rPr>
        <w:t xml:space="preserve">y </w:t>
      </w:r>
      <w:r>
        <w:rPr>
          <w:rFonts w:eastAsia="Calibri"/>
          <w:b/>
          <w:position w:val="-12"/>
          <w:sz w:val="20"/>
          <w:szCs w:val="20"/>
          <w:lang w:val="es-ES" w:eastAsia="en-US"/>
        </w:rPr>
        <w:object w:dxaOrig="1725" w:dyaOrig="345">
          <v:shape id="_x0000_i1026" type="#_x0000_t75" style="width:86.25pt;height:17.25pt" o:ole="">
            <v:imagedata r:id="rId7" o:title=""/>
          </v:shape>
          <o:OLEObject Type="Embed" ProgID="Equation.DSMT4" ShapeID="_x0000_i1026" DrawAspect="Content" ObjectID="_1645441744" r:id="rId8"/>
        </w:object>
      </w:r>
      <w:r>
        <w:rPr>
          <w:rFonts w:eastAsia="Calibri"/>
          <w:b/>
          <w:sz w:val="20"/>
          <w:szCs w:val="20"/>
          <w:lang w:val="es-ES" w:eastAsia="en-US"/>
        </w:rPr>
        <w:t>.</w:t>
      </w:r>
    </w:p>
    <w:p w:rsidR="00961EDA" w:rsidRDefault="00961EDA" w:rsidP="00961EDA">
      <w:pPr>
        <w:pStyle w:val="05Enunciadoapartados"/>
        <w:numPr>
          <w:ilvl w:val="0"/>
          <w:numId w:val="0"/>
        </w:numPr>
        <w:ind w:left="426" w:hanging="284"/>
        <w:jc w:val="left"/>
        <w:rPr>
          <w:rFonts w:eastAsia="Calibri"/>
          <w:sz w:val="20"/>
          <w:szCs w:val="20"/>
          <w:lang w:val="es-ES" w:eastAsia="en-US"/>
        </w:rPr>
      </w:pPr>
      <w:r>
        <w:rPr>
          <w:rFonts w:eastAsia="Calibri"/>
          <w:sz w:val="20"/>
          <w:szCs w:val="20"/>
          <w:lang w:val="es-ES" w:eastAsia="en-US"/>
        </w:rPr>
        <w:t xml:space="preserve">1.º </w:t>
      </w:r>
      <w:r>
        <w:rPr>
          <w:rFonts w:eastAsia="Calibri"/>
          <w:position w:val="-12"/>
          <w:sz w:val="20"/>
          <w:szCs w:val="20"/>
          <w:lang w:val="es-ES" w:eastAsia="en-US"/>
        </w:rPr>
        <w:object w:dxaOrig="7305" w:dyaOrig="345">
          <v:shape id="_x0000_i1027" type="#_x0000_t75" style="width:365.25pt;height:17.25pt" o:ole="">
            <v:imagedata r:id="rId9" o:title=""/>
          </v:shape>
          <o:OLEObject Type="Embed" ProgID="Equation.DSMT4" ShapeID="_x0000_i1027" DrawAspect="Content" ObjectID="_1645441745" r:id="rId10"/>
        </w:object>
      </w:r>
    </w:p>
    <w:p w:rsidR="00961EDA" w:rsidRDefault="00961EDA" w:rsidP="00961EDA">
      <w:pPr>
        <w:pStyle w:val="05Enunciadoapartados"/>
        <w:numPr>
          <w:ilvl w:val="0"/>
          <w:numId w:val="0"/>
        </w:numPr>
        <w:ind w:left="426" w:hanging="284"/>
        <w:jc w:val="left"/>
        <w:rPr>
          <w:rFonts w:eastAsia="Calibri"/>
          <w:sz w:val="20"/>
          <w:szCs w:val="20"/>
          <w:lang w:val="es-ES"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4763135</wp:posOffset>
            </wp:positionH>
            <wp:positionV relativeFrom="paragraph">
              <wp:posOffset>53975</wp:posOffset>
            </wp:positionV>
            <wp:extent cx="1598295" cy="186880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86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sz w:val="20"/>
          <w:szCs w:val="20"/>
          <w:lang w:val="es-ES" w:eastAsia="en-US"/>
        </w:rPr>
        <w:t>2.º</w:t>
      </w:r>
      <w:r>
        <w:rPr>
          <w:rFonts w:eastAsia="Calibri"/>
          <w:sz w:val="20"/>
          <w:szCs w:val="20"/>
          <w:lang w:val="es-ES" w:eastAsia="en-US"/>
        </w:rPr>
        <w:tab/>
        <w:t xml:space="preserve">En </w:t>
      </w:r>
      <w:r>
        <w:rPr>
          <w:rFonts w:eastAsia="Calibri"/>
          <w:position w:val="-12"/>
          <w:sz w:val="20"/>
          <w:szCs w:val="20"/>
          <w:lang w:val="es-ES" w:eastAsia="en-US"/>
        </w:rPr>
        <w:object w:dxaOrig="1725" w:dyaOrig="345">
          <v:shape id="_x0000_i1028" type="#_x0000_t75" style="width:86.25pt;height:17.25pt" o:ole="">
            <v:imagedata r:id="rId12" o:title=""/>
          </v:shape>
          <o:OLEObject Type="Embed" ProgID="Equation.DSMT4" ShapeID="_x0000_i1028" DrawAspect="Content" ObjectID="_1645441746" r:id="rId13"/>
        </w:object>
      </w:r>
      <w:r>
        <w:rPr>
          <w:rFonts w:eastAsia="Calibri"/>
          <w:sz w:val="20"/>
          <w:szCs w:val="20"/>
          <w:lang w:val="es-ES" w:eastAsia="en-US"/>
        </w:rPr>
        <w:t xml:space="preserve">, mientras que en </w:t>
      </w:r>
      <w:r>
        <w:rPr>
          <w:rFonts w:eastAsia="Calibri"/>
          <w:position w:val="-12"/>
          <w:sz w:val="20"/>
          <w:szCs w:val="20"/>
          <w:lang w:val="es-ES" w:eastAsia="en-US"/>
        </w:rPr>
        <w:object w:dxaOrig="1605" w:dyaOrig="345">
          <v:shape id="_x0000_i1029" type="#_x0000_t75" style="width:80.25pt;height:17.25pt" o:ole="">
            <v:imagedata r:id="rId14" o:title=""/>
          </v:shape>
          <o:OLEObject Type="Embed" ProgID="Equation.DSMT4" ShapeID="_x0000_i1029" DrawAspect="Content" ObjectID="_1645441747" r:id="rId15"/>
        </w:object>
      </w:r>
    </w:p>
    <w:p w:rsidR="00961EDA" w:rsidRDefault="00961EDA" w:rsidP="00961EDA">
      <w:pPr>
        <w:pStyle w:val="05Enunciadoapartados"/>
        <w:numPr>
          <w:ilvl w:val="0"/>
          <w:numId w:val="0"/>
        </w:numPr>
        <w:ind w:left="426"/>
        <w:jc w:val="left"/>
        <w:rPr>
          <w:rFonts w:eastAsia="Calibri"/>
          <w:sz w:val="20"/>
          <w:szCs w:val="20"/>
          <w:lang w:val="es-ES" w:eastAsia="en-US"/>
        </w:rPr>
      </w:pPr>
      <w:r>
        <w:rPr>
          <w:rFonts w:eastAsia="Calibri"/>
          <w:position w:val="-54"/>
          <w:sz w:val="20"/>
          <w:szCs w:val="20"/>
          <w:lang w:val="es-ES" w:eastAsia="en-US"/>
        </w:rPr>
        <w:object w:dxaOrig="6525" w:dyaOrig="1170">
          <v:shape id="_x0000_i1030" type="#_x0000_t75" style="width:326.25pt;height:58.5pt" o:ole="">
            <v:imagedata r:id="rId16" o:title=""/>
          </v:shape>
          <o:OLEObject Type="Embed" ProgID="Equation.DSMT4" ShapeID="_x0000_i1030" DrawAspect="Content" ObjectID="_1645441748" r:id="rId17"/>
        </w:object>
      </w:r>
    </w:p>
    <w:p w:rsidR="00961EDA" w:rsidRDefault="00961EDA" w:rsidP="00961EDA">
      <w:pPr>
        <w:pStyle w:val="05Enunciadoapartados"/>
        <w:numPr>
          <w:ilvl w:val="0"/>
          <w:numId w:val="0"/>
        </w:numPr>
        <w:ind w:left="426"/>
        <w:jc w:val="left"/>
        <w:rPr>
          <w:rFonts w:eastAsia="Calibri"/>
          <w:sz w:val="20"/>
          <w:szCs w:val="20"/>
          <w:lang w:val="es-ES" w:eastAsia="en-US"/>
        </w:rPr>
      </w:pPr>
      <w:r>
        <w:rPr>
          <w:rFonts w:eastAsia="Calibri"/>
          <w:position w:val="-54"/>
          <w:sz w:val="20"/>
          <w:szCs w:val="20"/>
          <w:lang w:val="es-ES" w:eastAsia="en-US"/>
        </w:rPr>
        <w:object w:dxaOrig="6600" w:dyaOrig="1170">
          <v:shape id="_x0000_i1031" type="#_x0000_t75" style="width:330pt;height:58.5pt" o:ole="">
            <v:imagedata r:id="rId18" o:title=""/>
          </v:shape>
          <o:OLEObject Type="Embed" ProgID="Equation.DSMT4" ShapeID="_x0000_i1031" DrawAspect="Content" ObjectID="_1645441749" r:id="rId19"/>
        </w:object>
      </w:r>
    </w:p>
    <w:p w:rsidR="00961EDA" w:rsidRDefault="00961EDA" w:rsidP="00961EDA">
      <w:pPr>
        <w:pStyle w:val="05Enunciadoapartados"/>
        <w:numPr>
          <w:ilvl w:val="0"/>
          <w:numId w:val="0"/>
        </w:numPr>
        <w:spacing w:after="0"/>
        <w:ind w:left="426" w:hanging="426"/>
        <w:jc w:val="left"/>
        <w:rPr>
          <w:rFonts w:eastAsia="Calibri"/>
          <w:b/>
          <w:sz w:val="20"/>
          <w:szCs w:val="20"/>
          <w:lang w:val="es-ES" w:eastAsia="en-US"/>
        </w:rPr>
      </w:pPr>
      <w:r>
        <w:rPr>
          <w:rFonts w:eastAsia="Calibri"/>
          <w:sz w:val="20"/>
          <w:szCs w:val="20"/>
          <w:lang w:val="es-ES" w:eastAsia="en-US"/>
        </w:rPr>
        <w:t xml:space="preserve">3.º </w:t>
      </w:r>
      <w:r>
        <w:rPr>
          <w:rFonts w:eastAsia="Calibri"/>
          <w:sz w:val="20"/>
          <w:szCs w:val="20"/>
          <w:lang w:val="es-ES" w:eastAsia="en-US"/>
        </w:rPr>
        <w:tab/>
        <w:t>El área total será</w:t>
      </w:r>
      <w:r>
        <w:rPr>
          <w:rFonts w:eastAsia="Calibri"/>
          <w:b/>
          <w:sz w:val="20"/>
          <w:szCs w:val="20"/>
          <w:lang w:val="es-ES" w:eastAsia="en-US"/>
        </w:rPr>
        <w:t xml:space="preserve"> </w:t>
      </w:r>
      <w:r>
        <w:rPr>
          <w:rFonts w:eastAsia="Calibri"/>
          <w:b/>
          <w:position w:val="-22"/>
          <w:sz w:val="20"/>
          <w:szCs w:val="20"/>
          <w:lang w:val="es-ES" w:eastAsia="en-US"/>
        </w:rPr>
        <w:object w:dxaOrig="1950" w:dyaOrig="555">
          <v:shape id="_x0000_i1032" type="#_x0000_t75" style="width:97.5pt;height:27.75pt" o:ole="">
            <v:imagedata r:id="rId20" o:title=""/>
          </v:shape>
          <o:OLEObject Type="Embed" ProgID="Equation.DSMT4" ShapeID="_x0000_i1032" DrawAspect="Content" ObjectID="_1645441750" r:id="rId21"/>
        </w:object>
      </w:r>
    </w:p>
    <w:p w:rsidR="00961EDA" w:rsidRDefault="00961EDA" w:rsidP="00961EDA">
      <w:pPr>
        <w:pStyle w:val="05Enunciadoapartados"/>
        <w:numPr>
          <w:ilvl w:val="0"/>
          <w:numId w:val="0"/>
        </w:numPr>
        <w:spacing w:after="0"/>
        <w:ind w:left="1145" w:hanging="360"/>
        <w:rPr>
          <w:rFonts w:eastAsia="Calibri"/>
          <w:b/>
          <w:lang w:val="es-ES" w:eastAsia="en-US"/>
        </w:rPr>
      </w:pPr>
    </w:p>
    <w:p w:rsidR="00961EDA" w:rsidRDefault="00961EDA" w:rsidP="00961EDA">
      <w:pPr>
        <w:pStyle w:val="05Enunciadoapartados"/>
        <w:numPr>
          <w:ilvl w:val="0"/>
          <w:numId w:val="2"/>
        </w:numPr>
        <w:spacing w:after="0"/>
        <w:ind w:left="426" w:hanging="426"/>
        <w:rPr>
          <w:rFonts w:eastAsia="Calibri"/>
          <w:b/>
          <w:sz w:val="20"/>
          <w:szCs w:val="20"/>
          <w:lang w:val="es-ES" w:eastAsia="en-US"/>
        </w:rPr>
      </w:pPr>
      <w:r>
        <w:rPr>
          <w:rFonts w:eastAsia="Calibri"/>
          <w:b/>
          <w:sz w:val="20"/>
          <w:szCs w:val="20"/>
          <w:lang w:val="es-ES" w:eastAsia="en-US"/>
        </w:rPr>
        <w:t xml:space="preserve">Calcula el área encerrada entre las gráficas de las funciones </w:t>
      </w:r>
      <w:r>
        <w:rPr>
          <w:rFonts w:eastAsia="Calibri"/>
          <w:b/>
          <w:position w:val="-12"/>
          <w:sz w:val="20"/>
          <w:szCs w:val="20"/>
          <w:lang w:val="es-ES" w:eastAsia="en-US"/>
        </w:rPr>
        <w:object w:dxaOrig="1680" w:dyaOrig="345">
          <v:shape id="_x0000_i1033" type="#_x0000_t75" style="width:84pt;height:17.25pt" o:ole="">
            <v:imagedata r:id="rId22" o:title=""/>
          </v:shape>
          <o:OLEObject Type="Embed" ProgID="Equation.DSMT4" ShapeID="_x0000_i1033" DrawAspect="Content" ObjectID="_1645441751" r:id="rId23"/>
        </w:object>
      </w:r>
      <w:r>
        <w:rPr>
          <w:rFonts w:eastAsia="Calibri"/>
          <w:b/>
          <w:sz w:val="20"/>
          <w:szCs w:val="20"/>
          <w:lang w:val="es-ES" w:eastAsia="en-US"/>
        </w:rPr>
        <w:t xml:space="preserve"> y  </w:t>
      </w:r>
      <w:r>
        <w:rPr>
          <w:rFonts w:eastAsia="Calibri"/>
          <w:b/>
          <w:position w:val="-12"/>
          <w:sz w:val="20"/>
          <w:szCs w:val="20"/>
          <w:lang w:val="es-ES" w:eastAsia="en-US"/>
        </w:rPr>
        <w:object w:dxaOrig="1845" w:dyaOrig="345">
          <v:shape id="_x0000_i1034" type="#_x0000_t75" style="width:92.25pt;height:17.25pt" o:ole="">
            <v:imagedata r:id="rId24" o:title=""/>
          </v:shape>
          <o:OLEObject Type="Embed" ProgID="Equation.DSMT4" ShapeID="_x0000_i1034" DrawAspect="Content" ObjectID="_1645441752" r:id="rId25"/>
        </w:object>
      </w:r>
      <w:r>
        <w:rPr>
          <w:rFonts w:eastAsia="Calibri"/>
          <w:b/>
          <w:sz w:val="20"/>
          <w:szCs w:val="20"/>
          <w:lang w:val="es-ES" w:eastAsia="en-US"/>
        </w:rPr>
        <w:t>.</w:t>
      </w:r>
    </w:p>
    <w:p w:rsidR="00961EDA" w:rsidRDefault="00961EDA" w:rsidP="00961EDA">
      <w:pPr>
        <w:pStyle w:val="Prrafodelista"/>
        <w:tabs>
          <w:tab w:val="left" w:pos="426"/>
        </w:tabs>
        <w:spacing w:after="0"/>
        <w:ind w:left="426" w:hanging="426"/>
        <w:rPr>
          <w:rFonts w:eastAsia="Calibri"/>
          <w:b/>
          <w:lang w:val="es-ES" w:eastAsia="en-US"/>
        </w:rPr>
      </w:pPr>
    </w:p>
    <w:p w:rsidR="00961EDA" w:rsidRDefault="00961EDA" w:rsidP="00961EDA">
      <w:pPr>
        <w:pStyle w:val="05Enunciadoapartados"/>
        <w:numPr>
          <w:ilvl w:val="0"/>
          <w:numId w:val="2"/>
        </w:numPr>
        <w:spacing w:after="0"/>
        <w:ind w:left="426" w:hanging="426"/>
        <w:rPr>
          <w:rFonts w:eastAsia="Calibri"/>
          <w:b/>
          <w:lang w:val="es-ES" w:eastAsia="en-US"/>
        </w:rPr>
      </w:pPr>
      <w:r>
        <w:rPr>
          <w:rFonts w:eastAsia="Calibri"/>
          <w:b/>
          <w:sz w:val="20"/>
          <w:szCs w:val="20"/>
          <w:lang w:val="es-ES" w:eastAsia="en-US"/>
        </w:rPr>
        <w:t xml:space="preserve">Calcula el área encerrada entre la gráfica de la función </w:t>
      </w:r>
      <w:r>
        <w:rPr>
          <w:rFonts w:eastAsia="Calibri"/>
          <w:b/>
          <w:position w:val="-12"/>
          <w:sz w:val="20"/>
          <w:szCs w:val="20"/>
          <w:lang w:val="es-ES" w:eastAsia="en-US"/>
        </w:rPr>
        <w:object w:dxaOrig="1380" w:dyaOrig="345">
          <v:shape id="_x0000_i1035" type="#_x0000_t75" style="width:69pt;height:17.25pt" o:ole="">
            <v:imagedata r:id="rId26" o:title=""/>
          </v:shape>
          <o:OLEObject Type="Embed" ProgID="Equation.DSMT4" ShapeID="_x0000_i1035" DrawAspect="Content" ObjectID="_1645441753" r:id="rId27"/>
        </w:object>
      </w:r>
      <w:r>
        <w:rPr>
          <w:rFonts w:eastAsia="Calibri"/>
          <w:b/>
          <w:sz w:val="20"/>
          <w:szCs w:val="20"/>
          <w:lang w:val="es-ES" w:eastAsia="en-US"/>
        </w:rPr>
        <w:t xml:space="preserve"> y la recta </w:t>
      </w:r>
      <w:r>
        <w:rPr>
          <w:rFonts w:eastAsia="Calibri"/>
          <w:b/>
          <w:position w:val="-10"/>
          <w:sz w:val="20"/>
          <w:szCs w:val="20"/>
          <w:lang w:val="es-ES" w:eastAsia="en-US"/>
        </w:rPr>
        <w:object w:dxaOrig="585" w:dyaOrig="255">
          <v:shape id="_x0000_i1036" type="#_x0000_t75" style="width:29.25pt;height:12.75pt" o:ole="">
            <v:imagedata r:id="rId28" o:title=""/>
          </v:shape>
          <o:OLEObject Type="Embed" ProgID="Equation.DSMT4" ShapeID="_x0000_i1036" DrawAspect="Content" ObjectID="_1645441754" r:id="rId29"/>
        </w:object>
      </w:r>
      <w:r>
        <w:rPr>
          <w:rFonts w:eastAsia="Calibri"/>
          <w:b/>
          <w:sz w:val="20"/>
          <w:szCs w:val="20"/>
          <w:lang w:val="es-ES" w:eastAsia="en-US"/>
        </w:rPr>
        <w:t>.</w:t>
      </w:r>
    </w:p>
    <w:p w:rsidR="00961EDA" w:rsidRDefault="00961EDA" w:rsidP="00961EDA">
      <w:pPr>
        <w:pStyle w:val="Prrafodelista"/>
        <w:spacing w:after="0"/>
        <w:rPr>
          <w:rFonts w:eastAsia="Calibri"/>
          <w:b/>
          <w:lang w:val="es-ES" w:eastAsia="en-US"/>
        </w:rPr>
      </w:pPr>
    </w:p>
    <w:p w:rsidR="00961EDA" w:rsidRDefault="00961EDA" w:rsidP="00961EDA">
      <w:pPr>
        <w:pStyle w:val="05Enunciadoapartados"/>
        <w:numPr>
          <w:ilvl w:val="0"/>
          <w:numId w:val="2"/>
        </w:numPr>
        <w:spacing w:after="0"/>
        <w:ind w:left="426" w:hanging="426"/>
        <w:rPr>
          <w:rFonts w:eastAsia="Calibri"/>
          <w:b/>
          <w:lang w:val="es-ES" w:eastAsia="en-US"/>
        </w:rPr>
      </w:pPr>
      <w:r>
        <w:rPr>
          <w:rFonts w:eastAsia="Calibri"/>
          <w:b/>
          <w:sz w:val="20"/>
          <w:szCs w:val="20"/>
          <w:lang w:val="es-ES" w:eastAsia="en-US"/>
        </w:rPr>
        <w:t xml:space="preserve"> Calcula el área encerrada entre las gráficas de las funciones </w:t>
      </w:r>
      <w:r>
        <w:rPr>
          <w:rFonts w:eastAsia="Calibri"/>
          <w:b/>
          <w:position w:val="-12"/>
          <w:sz w:val="20"/>
          <w:szCs w:val="20"/>
          <w:lang w:val="es-ES" w:eastAsia="en-US"/>
        </w:rPr>
        <w:object w:dxaOrig="1335" w:dyaOrig="375">
          <v:shape id="_x0000_i1037" type="#_x0000_t75" style="width:66.75pt;height:18.75pt" o:ole="">
            <v:imagedata r:id="rId30" o:title=""/>
          </v:shape>
          <o:OLEObject Type="Embed" ProgID="Equation.DSMT4" ShapeID="_x0000_i1037" DrawAspect="Content" ObjectID="_1645441755" r:id="rId31"/>
        </w:object>
      </w:r>
      <w:r>
        <w:rPr>
          <w:rFonts w:eastAsia="Calibri"/>
          <w:b/>
          <w:sz w:val="20"/>
          <w:szCs w:val="20"/>
          <w:lang w:val="es-ES" w:eastAsia="en-US"/>
        </w:rPr>
        <w:t xml:space="preserve">  y </w:t>
      </w:r>
      <w:r>
        <w:rPr>
          <w:rFonts w:eastAsia="Calibri"/>
          <w:b/>
          <w:position w:val="-12"/>
          <w:sz w:val="20"/>
          <w:szCs w:val="20"/>
          <w:lang w:val="es-ES" w:eastAsia="en-US"/>
        </w:rPr>
        <w:object w:dxaOrig="1035" w:dyaOrig="375">
          <v:shape id="_x0000_i1038" type="#_x0000_t75" style="width:51.75pt;height:18.75pt" o:ole="">
            <v:imagedata r:id="rId32" o:title=""/>
          </v:shape>
          <o:OLEObject Type="Embed" ProgID="Equation.DSMT4" ShapeID="_x0000_i1038" DrawAspect="Content" ObjectID="_1645441756" r:id="rId33"/>
        </w:object>
      </w:r>
      <w:r>
        <w:rPr>
          <w:rFonts w:eastAsia="Calibri"/>
          <w:b/>
          <w:sz w:val="20"/>
          <w:szCs w:val="20"/>
          <w:lang w:val="es-ES" w:eastAsia="en-US"/>
        </w:rPr>
        <w:t>.</w:t>
      </w:r>
    </w:p>
    <w:p w:rsidR="00961EDA" w:rsidRDefault="00961EDA" w:rsidP="00961EDA">
      <w:pPr>
        <w:pStyle w:val="Prrafodelista"/>
        <w:spacing w:after="0"/>
        <w:rPr>
          <w:rFonts w:eastAsia="Calibri"/>
          <w:b/>
          <w:lang w:val="es-ES" w:eastAsia="en-US"/>
        </w:rPr>
      </w:pPr>
    </w:p>
    <w:p w:rsidR="00961EDA" w:rsidRDefault="00961EDA" w:rsidP="00961EDA">
      <w:pPr>
        <w:pStyle w:val="05Enunciadoapartados"/>
        <w:numPr>
          <w:ilvl w:val="0"/>
          <w:numId w:val="2"/>
        </w:numPr>
        <w:spacing w:after="0"/>
        <w:ind w:left="426" w:hanging="426"/>
        <w:rPr>
          <w:rFonts w:eastAsia="Calibri"/>
          <w:b/>
          <w:lang w:val="es-ES" w:eastAsia="en-US"/>
        </w:rPr>
      </w:pPr>
      <w:r>
        <w:rPr>
          <w:rFonts w:eastAsia="Calibri"/>
          <w:b/>
          <w:sz w:val="20"/>
          <w:szCs w:val="20"/>
          <w:lang w:val="es-ES" w:eastAsia="en-US"/>
        </w:rPr>
        <w:t xml:space="preserve">Calcula el área encerrada entre las gráficas de las funciones </w:t>
      </w:r>
      <w:r>
        <w:rPr>
          <w:rFonts w:eastAsia="Calibri"/>
          <w:b/>
          <w:position w:val="-12"/>
          <w:sz w:val="20"/>
          <w:szCs w:val="20"/>
          <w:lang w:val="es-ES" w:eastAsia="en-US"/>
        </w:rPr>
        <w:object w:dxaOrig="2295" w:dyaOrig="345">
          <v:shape id="_x0000_i1039" type="#_x0000_t75" style="width:114.75pt;height:17.25pt" o:ole="">
            <v:imagedata r:id="rId34" o:title=""/>
          </v:shape>
          <o:OLEObject Type="Embed" ProgID="Equation.DSMT4" ShapeID="_x0000_i1039" DrawAspect="Content" ObjectID="_1645441757" r:id="rId35"/>
        </w:object>
      </w:r>
      <w:r>
        <w:rPr>
          <w:rFonts w:eastAsia="Calibri"/>
          <w:b/>
          <w:sz w:val="20"/>
          <w:szCs w:val="20"/>
          <w:lang w:val="es-ES" w:eastAsia="en-US"/>
        </w:rPr>
        <w:t xml:space="preserve">  y </w:t>
      </w:r>
      <w:r>
        <w:rPr>
          <w:rFonts w:eastAsia="Calibri"/>
          <w:b/>
          <w:position w:val="-12"/>
          <w:sz w:val="20"/>
          <w:szCs w:val="20"/>
          <w:lang w:val="es-ES" w:eastAsia="en-US"/>
        </w:rPr>
        <w:object w:dxaOrig="2145" w:dyaOrig="345">
          <v:shape id="_x0000_i1040" type="#_x0000_t75" style="width:107.25pt;height:17.25pt" o:ole="">
            <v:imagedata r:id="rId36" o:title=""/>
          </v:shape>
          <o:OLEObject Type="Embed" ProgID="Equation.DSMT4" ShapeID="_x0000_i1040" DrawAspect="Content" ObjectID="_1645441758" r:id="rId37"/>
        </w:object>
      </w:r>
      <w:r>
        <w:rPr>
          <w:rFonts w:eastAsia="Calibri"/>
          <w:b/>
          <w:sz w:val="20"/>
          <w:szCs w:val="20"/>
          <w:lang w:val="es-ES" w:eastAsia="en-US"/>
        </w:rPr>
        <w:t>.</w:t>
      </w:r>
    </w:p>
    <w:p w:rsidR="00961EDA" w:rsidRDefault="00961EDA" w:rsidP="00961EDA">
      <w:pPr>
        <w:pStyle w:val="Prrafodelista"/>
        <w:spacing w:after="0"/>
        <w:ind w:left="0"/>
        <w:rPr>
          <w:rFonts w:eastAsia="Calibri"/>
          <w:b/>
          <w:lang w:val="es-ES" w:eastAsia="en-US"/>
        </w:rPr>
      </w:pPr>
    </w:p>
    <w:p w:rsidR="00961EDA" w:rsidRDefault="00961EDA" w:rsidP="00961EDA">
      <w:pPr>
        <w:pStyle w:val="05Enunciadoapartados"/>
        <w:numPr>
          <w:ilvl w:val="0"/>
          <w:numId w:val="2"/>
        </w:numPr>
        <w:spacing w:after="0"/>
        <w:ind w:left="426" w:hanging="426"/>
        <w:rPr>
          <w:rFonts w:eastAsia="Calibri"/>
          <w:b/>
          <w:lang w:val="es-ES" w:eastAsia="en-US"/>
        </w:rPr>
      </w:pPr>
      <w:r>
        <w:rPr>
          <w:rFonts w:eastAsia="Calibri"/>
          <w:b/>
          <w:sz w:val="20"/>
          <w:szCs w:val="20"/>
          <w:lang w:val="es-ES" w:eastAsia="en-US"/>
        </w:rPr>
        <w:t xml:space="preserve">Calcula el área encerrada entre las gráficas de las funciones </w:t>
      </w:r>
      <w:r>
        <w:rPr>
          <w:rFonts w:eastAsia="Calibri"/>
          <w:b/>
          <w:position w:val="-20"/>
          <w:sz w:val="20"/>
          <w:szCs w:val="20"/>
          <w:lang w:val="es-ES" w:eastAsia="en-US"/>
        </w:rPr>
        <w:object w:dxaOrig="1245" w:dyaOrig="525">
          <v:shape id="_x0000_i1041" type="#_x0000_t75" style="width:62.25pt;height:26.25pt" o:ole="">
            <v:imagedata r:id="rId38" o:title=""/>
          </v:shape>
          <o:OLEObject Type="Embed" ProgID="Equation.DSMT4" ShapeID="_x0000_i1041" DrawAspect="Content" ObjectID="_1645441759" r:id="rId39"/>
        </w:object>
      </w:r>
      <w:r>
        <w:rPr>
          <w:rFonts w:eastAsia="Calibri"/>
          <w:b/>
          <w:sz w:val="20"/>
          <w:szCs w:val="20"/>
          <w:lang w:val="es-ES" w:eastAsia="en-US"/>
        </w:rPr>
        <w:t xml:space="preserve">  y </w:t>
      </w:r>
      <w:r>
        <w:rPr>
          <w:rFonts w:eastAsia="Calibri"/>
          <w:b/>
          <w:position w:val="-12"/>
          <w:sz w:val="20"/>
          <w:szCs w:val="20"/>
          <w:lang w:val="es-ES" w:eastAsia="en-US"/>
        </w:rPr>
        <w:object w:dxaOrig="1245" w:dyaOrig="345">
          <v:shape id="_x0000_i1042" type="#_x0000_t75" style="width:62.25pt;height:17.25pt" o:ole="">
            <v:imagedata r:id="rId40" o:title=""/>
          </v:shape>
          <o:OLEObject Type="Embed" ProgID="Equation.DSMT4" ShapeID="_x0000_i1042" DrawAspect="Content" ObjectID="_1645441760" r:id="rId41"/>
        </w:object>
      </w:r>
      <w:r>
        <w:rPr>
          <w:rFonts w:eastAsia="Calibri"/>
          <w:b/>
          <w:sz w:val="20"/>
          <w:szCs w:val="20"/>
          <w:lang w:val="es-ES" w:eastAsia="en-US"/>
        </w:rPr>
        <w:t>.</w:t>
      </w:r>
    </w:p>
    <w:p w:rsidR="00961EDA" w:rsidRDefault="00961EDA" w:rsidP="00961EDA">
      <w:pPr>
        <w:pStyle w:val="Prrafodelista"/>
        <w:spacing w:after="0"/>
        <w:rPr>
          <w:rFonts w:eastAsia="Calibri"/>
          <w:b/>
          <w:lang w:val="es-ES" w:eastAsia="en-US"/>
        </w:rPr>
      </w:pPr>
    </w:p>
    <w:p w:rsidR="00961EDA" w:rsidRDefault="00961EDA" w:rsidP="00961EDA">
      <w:pPr>
        <w:pStyle w:val="05Enunciadoapartados"/>
        <w:numPr>
          <w:ilvl w:val="0"/>
          <w:numId w:val="2"/>
        </w:numPr>
        <w:spacing w:after="0"/>
        <w:ind w:left="426" w:hanging="426"/>
        <w:rPr>
          <w:rFonts w:eastAsia="Calibri"/>
          <w:b/>
          <w:lang w:val="es-ES" w:eastAsia="en-US"/>
        </w:rPr>
      </w:pPr>
      <w:r>
        <w:rPr>
          <w:rFonts w:eastAsia="Calibri"/>
          <w:b/>
          <w:sz w:val="20"/>
          <w:szCs w:val="20"/>
          <w:lang w:val="es-ES" w:eastAsia="en-US"/>
        </w:rPr>
        <w:t xml:space="preserve">Calcula el área encerrada entre las gráficas de las funciones </w:t>
      </w:r>
      <w:r>
        <w:rPr>
          <w:rFonts w:eastAsia="Calibri"/>
          <w:b/>
          <w:position w:val="-22"/>
          <w:sz w:val="20"/>
          <w:szCs w:val="20"/>
          <w:lang w:val="es-ES" w:eastAsia="en-US"/>
        </w:rPr>
        <w:object w:dxaOrig="975" w:dyaOrig="555">
          <v:shape id="_x0000_i1043" type="#_x0000_t75" style="width:48.75pt;height:27.75pt" o:ole="">
            <v:imagedata r:id="rId42" o:title=""/>
          </v:shape>
          <o:OLEObject Type="Embed" ProgID="Equation.DSMT4" ShapeID="_x0000_i1043" DrawAspect="Content" ObjectID="_1645441761" r:id="rId43"/>
        </w:object>
      </w:r>
      <w:r>
        <w:rPr>
          <w:rFonts w:eastAsia="Calibri"/>
          <w:b/>
          <w:sz w:val="20"/>
          <w:szCs w:val="20"/>
          <w:lang w:val="es-ES" w:eastAsia="en-US"/>
        </w:rPr>
        <w:t xml:space="preserve"> , el eje de abscisas y la recta</w:t>
      </w:r>
      <w:r>
        <w:rPr>
          <w:rFonts w:eastAsia="Calibri"/>
          <w:b/>
          <w:position w:val="-4"/>
          <w:sz w:val="20"/>
          <w:szCs w:val="20"/>
          <w:lang w:val="es-ES" w:eastAsia="en-US"/>
        </w:rPr>
        <w:object w:dxaOrig="540" w:dyaOrig="240">
          <v:shape id="_x0000_i1044" type="#_x0000_t75" style="width:27pt;height:12pt" o:ole="">
            <v:imagedata r:id="rId44" o:title=""/>
          </v:shape>
          <o:OLEObject Type="Embed" ProgID="Equation.DSMT4" ShapeID="_x0000_i1044" DrawAspect="Content" ObjectID="_1645441762" r:id="rId45"/>
        </w:object>
      </w:r>
      <w:r>
        <w:rPr>
          <w:rFonts w:eastAsia="Calibri"/>
          <w:b/>
          <w:sz w:val="20"/>
          <w:szCs w:val="20"/>
          <w:lang w:val="es-ES" w:eastAsia="en-US"/>
        </w:rPr>
        <w:t>.</w:t>
      </w:r>
    </w:p>
    <w:p w:rsidR="00961EDA" w:rsidRDefault="00961EDA" w:rsidP="00961EDA">
      <w:pPr>
        <w:spacing w:after="0"/>
        <w:jc w:val="left"/>
        <w:rPr>
          <w:rFonts w:eastAsia="Calibri" w:cs="Arial"/>
          <w:b/>
          <w:szCs w:val="18"/>
          <w:lang w:val="es-ES" w:eastAsia="en-US"/>
        </w:rPr>
        <w:sectPr w:rsidR="00961EDA">
          <w:pgSz w:w="11906" w:h="16838"/>
          <w:pgMar w:top="1134" w:right="851" w:bottom="1134" w:left="851" w:header="568" w:footer="407" w:gutter="0"/>
          <w:cols w:space="720"/>
        </w:sectPr>
      </w:pPr>
    </w:p>
    <w:p w:rsidR="00961EDA" w:rsidRDefault="00961EDA" w:rsidP="00961EDA">
      <w:pPr>
        <w:pStyle w:val="Encabezado"/>
        <w:tabs>
          <w:tab w:val="left" w:pos="708"/>
        </w:tabs>
        <w:rPr>
          <w:lang w:val="es-ES"/>
        </w:rPr>
      </w:pPr>
    </w:p>
    <w:p w:rsidR="00961EDA" w:rsidRDefault="00961EDA"/>
    <w:sectPr w:rsidR="00961E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B1EFE"/>
    <w:multiLevelType w:val="hybridMultilevel"/>
    <w:tmpl w:val="337EC8E2"/>
    <w:lvl w:ilvl="0" w:tplc="52A60856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9FB62C4"/>
    <w:multiLevelType w:val="hybridMultilevel"/>
    <w:tmpl w:val="E9248BDA"/>
    <w:lvl w:ilvl="0" w:tplc="2C923BAA">
      <w:start w:val="1"/>
      <w:numFmt w:val="lowerLetter"/>
      <w:pStyle w:val="05Enunciadoapartados"/>
      <w:lvlText w:val="%1)"/>
      <w:lvlJc w:val="left"/>
      <w:pPr>
        <w:ind w:left="1145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865" w:hanging="360"/>
      </w:pPr>
    </w:lvl>
    <w:lvl w:ilvl="2" w:tplc="0C0A001B">
      <w:start w:val="1"/>
      <w:numFmt w:val="lowerRoman"/>
      <w:lvlText w:val="%3."/>
      <w:lvlJc w:val="right"/>
      <w:pPr>
        <w:ind w:left="2585" w:hanging="180"/>
      </w:pPr>
    </w:lvl>
    <w:lvl w:ilvl="3" w:tplc="0C0A000F">
      <w:start w:val="1"/>
      <w:numFmt w:val="decimal"/>
      <w:lvlText w:val="%4."/>
      <w:lvlJc w:val="left"/>
      <w:pPr>
        <w:ind w:left="3305" w:hanging="360"/>
      </w:pPr>
    </w:lvl>
    <w:lvl w:ilvl="4" w:tplc="0C0A0019">
      <w:start w:val="1"/>
      <w:numFmt w:val="lowerLetter"/>
      <w:lvlText w:val="%5."/>
      <w:lvlJc w:val="left"/>
      <w:pPr>
        <w:ind w:left="4025" w:hanging="360"/>
      </w:pPr>
    </w:lvl>
    <w:lvl w:ilvl="5" w:tplc="0C0A001B">
      <w:start w:val="1"/>
      <w:numFmt w:val="lowerRoman"/>
      <w:lvlText w:val="%6."/>
      <w:lvlJc w:val="right"/>
      <w:pPr>
        <w:ind w:left="4745" w:hanging="180"/>
      </w:pPr>
    </w:lvl>
    <w:lvl w:ilvl="6" w:tplc="0C0A000F">
      <w:start w:val="1"/>
      <w:numFmt w:val="decimal"/>
      <w:lvlText w:val="%7."/>
      <w:lvlJc w:val="left"/>
      <w:pPr>
        <w:ind w:left="5465" w:hanging="360"/>
      </w:pPr>
    </w:lvl>
    <w:lvl w:ilvl="7" w:tplc="0C0A0019">
      <w:start w:val="1"/>
      <w:numFmt w:val="lowerLetter"/>
      <w:lvlText w:val="%8."/>
      <w:lvlJc w:val="left"/>
      <w:pPr>
        <w:ind w:left="6185" w:hanging="360"/>
      </w:pPr>
    </w:lvl>
    <w:lvl w:ilvl="8" w:tplc="0C0A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DA"/>
    <w:rsid w:val="0096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5B3E"/>
  <w15:chartTrackingRefBased/>
  <w15:docId w15:val="{34B227C4-5247-4015-A4B5-75D58E1B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DA"/>
    <w:pPr>
      <w:spacing w:after="80" w:line="240" w:lineRule="auto"/>
      <w:jc w:val="both"/>
    </w:pPr>
    <w:rPr>
      <w:rFonts w:ascii="Arial" w:eastAsia="Times New Roman" w:hAnsi="Arial" w:cs="Times New Roman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61EDA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1EDA"/>
    <w:rPr>
      <w:rFonts w:ascii="Arial" w:eastAsia="Times New Roman" w:hAnsi="Arial" w:cs="Times New Roman"/>
      <w:szCs w:val="24"/>
      <w:lang w:val="es-ES_tradnl" w:eastAsia="x-none"/>
    </w:rPr>
  </w:style>
  <w:style w:type="paragraph" w:styleId="Prrafodelista">
    <w:name w:val="List Paragraph"/>
    <w:basedOn w:val="Normal"/>
    <w:uiPriority w:val="34"/>
    <w:qFormat/>
    <w:rsid w:val="00961EDA"/>
    <w:pPr>
      <w:ind w:left="708"/>
    </w:pPr>
  </w:style>
  <w:style w:type="paragraph" w:customStyle="1" w:styleId="05Enunciadoapartados">
    <w:name w:val="05 Enunciado apartados"/>
    <w:basedOn w:val="Normal"/>
    <w:qFormat/>
    <w:rsid w:val="00961EDA"/>
    <w:pPr>
      <w:numPr>
        <w:numId w:val="1"/>
      </w:numPr>
      <w:tabs>
        <w:tab w:val="left" w:pos="425"/>
        <w:tab w:val="left" w:pos="567"/>
        <w:tab w:val="left" w:pos="2268"/>
        <w:tab w:val="left" w:pos="4536"/>
        <w:tab w:val="left" w:pos="6804"/>
      </w:tabs>
      <w:spacing w:after="60"/>
    </w:pPr>
    <w:rPr>
      <w:rFonts w:cs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gema.hidalgo</dc:creator>
  <cp:keywords/>
  <dc:description/>
  <cp:lastModifiedBy>gema.hidalgo</cp:lastModifiedBy>
  <cp:revision>1</cp:revision>
  <dcterms:created xsi:type="dcterms:W3CDTF">2020-03-11T13:21:00Z</dcterms:created>
  <dcterms:modified xsi:type="dcterms:W3CDTF">2020-03-11T13:22:00Z</dcterms:modified>
</cp:coreProperties>
</file>